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INFORME DE EXCEPCIONES, HALLAZGOS Y ACTUALIZACIONES NORMATIVAS</w:t>
      </w:r>
    </w:p>
    <w:p>
      <w:pPr>
        <w:spacing w:after="60" w:before="0"/>
        <w:jc w:val="center"/>
      </w:pPr>
      <w:r>
        <w:rPr>
          <w:b/>
          <w:bCs/>
          <w:sz w:val="22"/>
          <w:szCs w:val="22"/>
        </w:rPr>
        <w:t xml:space="preserve">Regeneración de formatos y anexos para procesos de Selección Abreviada de Menor Cuantía y demás modalidades</w:t>
      </w:r>
    </w:p>
    <w:p>
      <w:pPr>
        <w:spacing w:after="200" w:before="0"/>
        <w:jc w:val="center"/>
      </w:pPr>
      <w:r>
        <w:rPr>
          <w:b/>
          <w:bCs/>
          <w:sz w:val="22"/>
          <w:szCs w:val="22"/>
        </w:rPr>
        <w:t xml:space="preserve">Versión general para cualquier entidad estatal — Documento de control interno</w:t>
      </w:r>
    </w:p>
    <w:p>
      <w:pPr>
        <w:spacing w:after="160" w:before="0" w:line="276"/>
        <w:jc w:val="both"/>
      </w:pPr>
      <w:r>
        <w:rPr>
          <w:b w:val="false"/>
          <w:bCs w:val="false"/>
          <w:i w:val="false"/>
          <w:iCs w:val="false"/>
          <w:sz w:val="22"/>
          <w:szCs w:val="22"/>
        </w:rPr>
        <w:t xml:space="preserve">El presente informe deja constancia de las correcciones, neutralizaciones y actualizaciones aplicadas durante la regeneración del juego completo de formatos y anexos del proceso. Su propósito es servir de soporte de trazabilidad ante eventuales auditorías de la Contraloría, la Procuraduría o el control interno, y advertir sobre los campos que requieren diligenciamiento o validación por parte del equipo jurídico y técnico de la entidad.</w:t>
      </w:r>
    </w:p>
    <w:p>
      <w:pPr>
        <w:pStyle w:val="Heading2"/>
        <w:spacing w:after="100" w:before="200"/>
      </w:pPr>
      <w:r>
        <w:rPr>
          <w:b/>
          <w:bCs/>
          <w:sz w:val="22"/>
          <w:szCs w:val="22"/>
        </w:rPr>
        <w:t xml:space="preserve">1. Alcance de la intervención</w:t>
      </w:r>
    </w:p>
    <w:p>
      <w:pPr>
        <w:spacing w:after="160" w:before="0" w:line="276"/>
        <w:jc w:val="both"/>
      </w:pPr>
      <w:r>
        <w:rPr>
          <w:b w:val="false"/>
          <w:bCs w:val="false"/>
          <w:i w:val="false"/>
          <w:iCs w:val="false"/>
          <w:sz w:val="22"/>
          <w:szCs w:val="22"/>
        </w:rPr>
        <w:t xml:space="preserve">Los formatos fueron despersonalizados a partir de plantillas que pertenecían a una entidad territorial específica, con el fin de convertirlos en documentos de uso general. La intervención se limitó a: (i) neutralizar referencias a la entidad, ciudad, dirección y datos de contacto particulares; (ii) reemplazar fechas y números de proceso fijos por campos diligenciables; (iii) corregir errores ortográficos y de puntuación conforme a las normas de la Real Academia Española; (iv) corregir errores materiales detectados; (v) actualizar referencias normativas; y (vi) incorporar el formato de desempate faltante exigido por la ley. No se modificó la sintaxis, el vocabulario ni el estilo sustancial de los textos fuente.</w:t>
      </w:r>
    </w:p>
    <w:p>
      <w:pPr>
        <w:pStyle w:val="Heading2"/>
        <w:spacing w:after="100" w:before="200"/>
      </w:pPr>
      <w:r>
        <w:rPr>
          <w:b/>
          <w:bCs/>
          <w:sz w:val="22"/>
          <w:szCs w:val="22"/>
        </w:rPr>
        <w:t xml:space="preserve">2. Neutralización de datos de entidad</w:t>
      </w:r>
    </w:p>
    <w:p>
      <w:pPr>
        <w:spacing w:after="100" w:before="0" w:line="276"/>
        <w:jc w:val="both"/>
      </w:pPr>
      <w:r>
        <w:rPr>
          <w:b w:val="false"/>
          <w:bCs w:val="false"/>
          <w:i w:val="false"/>
          <w:iCs w:val="false"/>
          <w:sz w:val="22"/>
          <w:szCs w:val="22"/>
        </w:rPr>
        <w:t xml:space="preserve">Se aplicaron de manera uniforme los siguientes reemplazos por marcadores entre corchetes para que cada entidad complete la información que corresponda: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Texto original (entidad particular)</w:t>
            </w:r>
          </w:p>
        </w:tc>
        <w:tc>
          <w:tcPr>
            <w:tcW w:type="dxa" w:w="624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Marcador general aplicado</w:t>
            </w:r>
          </w:p>
        </w:tc>
      </w:tr>
      <w:tr>
        <w:tc>
          <w:tcPr>
            <w:tcW w:type="dxa" w:w="31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Nombre de la entidad, secretaría o alcaldía específica</w:t>
            </w:r>
          </w:p>
        </w:tc>
        <w:tc>
          <w:tcPr>
            <w:tcW w:type="dxa" w:w="624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[NOMBRE DE LA ENTIDAD]</w:t>
            </w:r>
          </w:p>
        </w:tc>
      </w:tr>
      <w:tr>
        <w:tc>
          <w:tcPr>
            <w:tcW w:type="dxa" w:w="31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Ciudad específica</w:t>
            </w:r>
          </w:p>
        </w:tc>
        <w:tc>
          <w:tcPr>
            <w:tcW w:type="dxa" w:w="624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[Ciudad]</w:t>
            </w:r>
          </w:p>
        </w:tc>
      </w:tr>
      <w:tr>
        <w:tc>
          <w:tcPr>
            <w:tcW w:type="dxa" w:w="31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Dirección, teléfono y sitio web particulares del pie de página</w:t>
            </w:r>
          </w:p>
        </w:tc>
        <w:tc>
          <w:tcPr>
            <w:tcW w:type="dxa" w:w="624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[Dirección de la Entidad] | [Teléfono] | [Correo electrónico] | [Sitio web de la Entidad]</w:t>
            </w:r>
          </w:p>
        </w:tc>
      </w:tr>
      <w:tr>
        <w:tc>
          <w:tcPr>
            <w:tcW w:type="dxa" w:w="31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Encabezado «Versión: 1 / Fecha de vigencia: 12 de junio de 2025»</w:t>
            </w:r>
          </w:p>
        </w:tc>
        <w:tc>
          <w:tcPr>
            <w:tcW w:type="dxa" w:w="624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«Versión: ____ / Fecha de vigencia: ____________»</w:t>
            </w:r>
          </w:p>
        </w:tc>
      </w:tr>
      <w:tr>
        <w:tc>
          <w:tcPr>
            <w:tcW w:type="dxa" w:w="31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Número de proceso fijo (p. ej., XXX-XXX-2024)</w:t>
            </w:r>
          </w:p>
        </w:tc>
        <w:tc>
          <w:tcPr>
            <w:tcW w:type="dxa" w:w="624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[Incluir número del Proceso de Contratación]</w:t>
            </w:r>
          </w:p>
        </w:tc>
      </w:tr>
      <w:tr>
        <w:tc>
          <w:tcPr>
            <w:tcW w:type="dxa" w:w="312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Fechas «20__ / 2024 / 202X»</w:t>
            </w:r>
          </w:p>
        </w:tc>
        <w:tc>
          <w:tcPr>
            <w:tcW w:type="dxa" w:w="624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Campos diligenciables «20__» o [AÑO]</w:t>
            </w:r>
          </w:p>
        </w:tc>
      </w:tr>
    </w:tbl>
    <w:p>
      <w:pPr>
        <w:spacing w:after="120"/>
      </w:pPr>
      <w:r>
        <w:rPr>
          <w:sz w:val="22"/>
          <w:szCs w:val="22"/>
        </w:rPr>
        <w:t xml:space="preserve"/>
      </w:r>
    </w:p>
    <w:p>
      <w:pPr>
        <w:pStyle w:val="Heading2"/>
        <w:spacing w:after="100" w:before="200"/>
      </w:pPr>
      <w:r>
        <w:rPr>
          <w:b/>
          <w:bCs/>
          <w:sz w:val="22"/>
          <w:szCs w:val="22"/>
        </w:rPr>
        <w:t xml:space="preserve">3. Hallazgos y errores materiales corregidos</w:t>
      </w:r>
    </w:p>
    <w:p>
      <w:pPr>
        <w:pStyle w:val="ListParagraph"/>
        <w:numPr>
          <w:ilvl w:val="0"/>
          <w:numId w:val="2"/>
        </w:numPr>
        <w:spacing w:after="100" w:line="276"/>
        <w:jc w:val="both"/>
      </w:pPr>
      <w:r>
        <w:rPr>
          <w:b/>
          <w:bCs/>
          <w:i w:val="false"/>
          <w:iCs w:val="false"/>
          <w:sz w:val="22"/>
          <w:szCs w:val="22"/>
        </w:rPr>
        <w:t xml:space="preserve">Anexo 6 — Minuta del contrato (cláusula de terminación). </w:t>
      </w:r>
      <w:r>
        <w:rPr>
          <w:b w:val="false"/>
          <w:bCs w:val="false"/>
          <w:i w:val="false"/>
          <w:iCs w:val="false"/>
          <w:sz w:val="22"/>
          <w:szCs w:val="22"/>
        </w:rPr>
        <w:t xml:space="preserve">El texto fuente nombraba por error a un municipio distinto del de la plantilla («El Municipio de Tenjo puede dar por terminado…»), lo que evidencia un error de copiado de una minuta ajena. Se reemplazó por el marcador [NOMBRE DE LA ENTIDAD] para evitar la propagación del error.</w:t>
      </w:r>
    </w:p>
    <w:p>
      <w:pPr>
        <w:pStyle w:val="ListParagraph"/>
        <w:numPr>
          <w:ilvl w:val="0"/>
          <w:numId w:val="2"/>
        </w:numPr>
        <w:spacing w:after="100" w:line="276"/>
        <w:jc w:val="both"/>
      </w:pPr>
      <w:r>
        <w:rPr>
          <w:b/>
          <w:bCs/>
          <w:i w:val="false"/>
          <w:iCs w:val="false"/>
          <w:sz w:val="22"/>
          <w:szCs w:val="22"/>
        </w:rPr>
        <w:t xml:space="preserve">Anexo 10 — Propuesta económica. </w:t>
      </w:r>
      <w:r>
        <w:rPr>
          <w:b w:val="false"/>
          <w:bCs w:val="false"/>
          <w:i w:val="false"/>
          <w:iCs w:val="false"/>
          <w:sz w:val="22"/>
          <w:szCs w:val="22"/>
        </w:rPr>
        <w:t xml:space="preserve">El documento fuente estaba atado a un proceso y entidad concretos y contenía secciones duplicadas (las declaraciones y advertencias aparecían dos veces). Se entregó una plantilla general, sin duplicaciones, con una tabla de cotización genérica en blanco lista para diligenciar.</w:t>
      </w:r>
    </w:p>
    <w:p>
      <w:pPr>
        <w:pStyle w:val="ListParagraph"/>
        <w:numPr>
          <w:ilvl w:val="0"/>
          <w:numId w:val="2"/>
        </w:numPr>
        <w:spacing w:after="100" w:line="276"/>
        <w:jc w:val="both"/>
      </w:pPr>
      <w:r>
        <w:rPr>
          <w:b/>
          <w:bCs/>
          <w:i w:val="false"/>
          <w:iCs w:val="false"/>
          <w:sz w:val="22"/>
          <w:szCs w:val="22"/>
        </w:rPr>
        <w:t xml:space="preserve">Formato 11 — Estímulo a la industria nacional. </w:t>
      </w:r>
      <w:r>
        <w:rPr>
          <w:b w:val="false"/>
          <w:bCs w:val="false"/>
          <w:i w:val="false"/>
          <w:iCs w:val="false"/>
          <w:sz w:val="22"/>
          <w:szCs w:val="22"/>
        </w:rPr>
        <w:t xml:space="preserve">La numeración interna del documento fuente era inconsistente (mezclaba «11.A», «13B» y «Formato 13» y remitía a un numeral de un Documento Base ajeno). Se normalizó la numeración interna a 11.A y 11.B, conservando el contenido.</w:t>
      </w:r>
    </w:p>
    <w:p>
      <w:pPr>
        <w:pStyle w:val="ListParagraph"/>
        <w:numPr>
          <w:ilvl w:val="0"/>
          <w:numId w:val="2"/>
        </w:numPr>
        <w:spacing w:after="100" w:line="276"/>
        <w:jc w:val="both"/>
      </w:pPr>
      <w:r>
        <w:rPr>
          <w:b/>
          <w:bCs/>
          <w:i w:val="false"/>
          <w:iCs w:val="false"/>
          <w:sz w:val="22"/>
          <w:szCs w:val="22"/>
        </w:rPr>
        <w:t xml:space="preserve">Formato de desempate 10. </w:t>
      </w:r>
      <w:r>
        <w:rPr>
          <w:b w:val="false"/>
          <w:bCs w:val="false"/>
          <w:i w:val="false"/>
          <w:iCs w:val="false"/>
          <w:sz w:val="22"/>
          <w:szCs w:val="22"/>
        </w:rPr>
        <w:t xml:space="preserve">El instructivo inicial del documento fuente describía erróneamente un supuesto de madres cabeza de familia, ajeno al objeto del formato (pagos a Mipymes). Se conservó únicamente el contenido pertinente a los pagos realizados a Mipymes, cooperativas o asociaciones mutuales.</w:t>
      </w:r>
    </w:p>
    <w:p>
      <w:pPr>
        <w:pStyle w:val="ListParagraph"/>
        <w:numPr>
          <w:ilvl w:val="0"/>
          <w:numId w:val="2"/>
        </w:numPr>
        <w:spacing w:after="100" w:line="276"/>
        <w:jc w:val="both"/>
      </w:pPr>
      <w:r>
        <w:rPr>
          <w:b/>
          <w:bCs/>
          <w:i w:val="false"/>
          <w:iCs w:val="false"/>
          <w:sz w:val="22"/>
          <w:szCs w:val="22"/>
        </w:rPr>
        <w:t xml:space="preserve">Archivo duplicado de desempate 6. </w:t>
      </w:r>
      <w:r>
        <w:rPr>
          <w:b w:val="false"/>
          <w:bCs w:val="false"/>
          <w:i w:val="false"/>
          <w:iCs w:val="false"/>
          <w:sz w:val="22"/>
          <w:szCs w:val="22"/>
        </w:rPr>
        <w:t xml:space="preserve">El juego fuente incluía dos archivos idénticos para el factor de reincorporación de persona jurídica o proponente plural. Se generó un único formato (no se eliminó contenido; solo se evitó la duplicación del mismo archivo).</w:t>
      </w:r>
    </w:p>
    <w:p>
      <w:pPr>
        <w:spacing w:after="80"/>
      </w:pPr>
      <w:r>
        <w:rPr>
          <w:sz w:val="22"/>
          <w:szCs w:val="22"/>
        </w:rPr>
        <w:t xml:space="preserve"/>
      </w:r>
    </w:p>
    <w:p>
      <w:pPr>
        <w:pStyle w:val="Heading2"/>
        <w:spacing w:after="100" w:before="200"/>
      </w:pPr>
      <w:r>
        <w:rPr>
          <w:b/>
          <w:bCs/>
          <w:sz w:val="22"/>
          <w:szCs w:val="22"/>
        </w:rPr>
        <w:t xml:space="preserve">4. Actualizaciones normativas verificadas</w:t>
      </w:r>
    </w:p>
    <w:p>
      <w:pPr>
        <w:spacing w:after="100" w:before="0" w:line="276"/>
        <w:jc w:val="both"/>
      </w:pPr>
      <w:r>
        <w:rPr>
          <w:b w:val="false"/>
          <w:bCs w:val="false"/>
          <w:i w:val="false"/>
          <w:iCs w:val="false"/>
          <w:sz w:val="22"/>
          <w:szCs w:val="22"/>
        </w:rPr>
        <w:t xml:space="preserve">Se verificó la vigencia de la normativa aplicable a la fecha de elaboración de este informe. Los hallazgos relevantes son los siguientes:</w:t>
      </w:r>
    </w:p>
    <w:p>
      <w:pPr>
        <w:pStyle w:val="ListParagraph"/>
        <w:numPr>
          <w:ilvl w:val="0"/>
          <w:numId w:val="2"/>
        </w:numPr>
        <w:spacing w:after="100" w:line="276"/>
        <w:jc w:val="both"/>
      </w:pPr>
      <w:r>
        <w:rPr>
          <w:b/>
          <w:bCs/>
          <w:i w:val="false"/>
          <w:iCs w:val="false"/>
          <w:sz w:val="22"/>
          <w:szCs w:val="22"/>
        </w:rPr>
        <w:t xml:space="preserve">Factores de desempate. </w:t>
      </w:r>
      <w:r>
        <w:rPr>
          <w:b w:val="false"/>
          <w:bCs w:val="false"/>
          <w:i w:val="false"/>
          <w:iCs w:val="false"/>
          <w:sz w:val="22"/>
          <w:szCs w:val="22"/>
        </w:rPr>
        <w:t xml:space="preserve">El artículo 2.2.1.2.4.2.17 del Decreto 1082 de 2015, adicionado por el Decreto 1860 de 2021 —que desarrolla el artículo 35 de la Ley 2069 de 2020—, permanece vigente. Los formatos de desempate conservan los trece factores y se citó el fundamento normativo en cada uno.</w:t>
      </w:r>
    </w:p>
    <w:p>
      <w:pPr>
        <w:pStyle w:val="ListParagraph"/>
        <w:numPr>
          <w:ilvl w:val="0"/>
          <w:numId w:val="2"/>
        </w:numPr>
        <w:spacing w:after="100" w:line="276"/>
        <w:jc w:val="both"/>
      </w:pPr>
      <w:r>
        <w:rPr>
          <w:b/>
          <w:bCs/>
          <w:i w:val="false"/>
          <w:iCs w:val="false"/>
          <w:sz w:val="22"/>
          <w:szCs w:val="22"/>
        </w:rPr>
        <w:t xml:space="preserve">Convocatoria limitada a Mipymes. </w:t>
      </w:r>
      <w:r>
        <w:rPr>
          <w:b w:val="false"/>
          <w:bCs w:val="false"/>
          <w:i w:val="false"/>
          <w:iCs w:val="false"/>
          <w:sz w:val="22"/>
          <w:szCs w:val="22"/>
        </w:rPr>
        <w:t xml:space="preserve">Se actualizó el Aviso de Convocatoria para reflejar el umbral y el número de manifestaciones de interés vigentes para la limitación a Mipymes. El número mínimo de Mipymes nacionales que deben manifestar interés para activar la limitación es de dos (2), y el umbral de menor cuantía expresado en pesos debe tomarse del valor vigente publicado por Colombia Compra Eficiente para la respectiva vigencia fiscal. Se recomienda verificar el valor del umbral en pesos en la tabla de umbrales del año en curso antes de cada publicación.</w:t>
      </w:r>
    </w:p>
    <w:p>
      <w:pPr>
        <w:pStyle w:val="ListParagraph"/>
        <w:numPr>
          <w:ilvl w:val="0"/>
          <w:numId w:val="2"/>
        </w:numPr>
        <w:spacing w:after="100" w:line="276"/>
        <w:jc w:val="both"/>
      </w:pPr>
      <w:r>
        <w:rPr>
          <w:b/>
          <w:bCs/>
          <w:i w:val="false"/>
          <w:iCs w:val="false"/>
          <w:sz w:val="22"/>
          <w:szCs w:val="22"/>
        </w:rPr>
        <w:t xml:space="preserve">Tratamiento de datos personales. </w:t>
      </w:r>
      <w:r>
        <w:rPr>
          <w:b w:val="false"/>
          <w:bCs w:val="false"/>
          <w:i w:val="false"/>
          <w:iCs w:val="false"/>
          <w:sz w:val="22"/>
          <w:szCs w:val="22"/>
        </w:rPr>
        <w:t xml:space="preserve">Los formatos de desempate que recogen datos sensibles (mujeres víctimas de violencia intrafamiliar, personas con discapacidad, pertenencia étnica, personas en reincorporación) remiten expresamente al Formato 12 — Autorización de Tratamiento de Datos Personales, conforme a los artículos 5 y 6 de la Ley 1581 de 2012.</w:t>
      </w:r>
    </w:p>
    <w:p>
      <w:pPr>
        <w:spacing w:after="80"/>
      </w:pPr>
      <w:r>
        <w:rPr>
          <w:sz w:val="22"/>
          <w:szCs w:val="22"/>
        </w:rPr>
        <w:t xml:space="preserve"/>
      </w:r>
    </w:p>
    <w:p>
      <w:pPr>
        <w:pStyle w:val="Heading2"/>
        <w:spacing w:after="100" w:before="200"/>
      </w:pPr>
      <w:r>
        <w:rPr>
          <w:b/>
          <w:bCs/>
          <w:sz w:val="22"/>
          <w:szCs w:val="22"/>
        </w:rPr>
        <w:t xml:space="preserve">5. Formato incorporado por exigencia legal</w:t>
      </w:r>
    </w:p>
    <w:p>
      <w:pPr>
        <w:spacing w:after="160" w:before="0" w:line="276"/>
        <w:jc w:val="both"/>
      </w:pPr>
      <w:r>
        <w:rPr>
          <w:b w:val="false"/>
          <w:bCs w:val="false"/>
          <w:i w:val="false"/>
          <w:iCs w:val="false"/>
          <w:sz w:val="22"/>
          <w:szCs w:val="22"/>
        </w:rPr>
        <w:t xml:space="preserve">El juego de formatos fuente no incluía un formato para el primer factor de desempate (preferencia de bienes o servicios nacionales) previsto en el numeral 1 del artículo 2.2.1.2.4.2.17 del Decreto 1082 de 2015. En cumplimiento de la instrucción de no eliminar ningún formato y de incorporar los exigidos por la ley, se creó el Formato Desempate 1 — Preferencia de Bienes o Servicios Nacionales, manteniendo la coherencia de redacción y estructura con los demás formatos del juego.</w:t>
      </w:r>
    </w:p>
    <w:p>
      <w:pPr>
        <w:pStyle w:val="Heading2"/>
        <w:spacing w:after="100" w:before="200"/>
      </w:pPr>
      <w:r>
        <w:rPr>
          <w:b/>
          <w:bCs/>
          <w:sz w:val="22"/>
          <w:szCs w:val="22"/>
        </w:rPr>
        <w:t xml:space="preserve">6. Campos que requieren diligenciamiento o validación de la entidad</w:t>
      </w:r>
    </w:p>
    <w:p>
      <w:pPr>
        <w:spacing w:after="100" w:before="0" w:line="276"/>
        <w:jc w:val="both"/>
      </w:pPr>
      <w:r>
        <w:rPr>
          <w:b w:val="false"/>
          <w:bCs w:val="false"/>
          <w:i w:val="false"/>
          <w:iCs w:val="false"/>
          <w:sz w:val="22"/>
          <w:szCs w:val="22"/>
        </w:rPr>
        <w:t xml:space="preserve">Los siguientes campos no pueden completarse de manera general y deben ser diligenciados o validados por el equipo jurídico, técnico y financiero de la entidad para cada proceso:</w:t>
      </w:r>
    </w:p>
    <w:p>
      <w:pPr>
        <w:pStyle w:val="ListParagraph"/>
        <w:numPr>
          <w:ilvl w:val="0"/>
          <w:numId w:val="2"/>
        </w:numPr>
        <w:spacing w:after="100" w:line="276"/>
        <w:jc w:val="both"/>
      </w:pPr>
      <w:r>
        <w:rPr>
          <w:sz w:val="22"/>
          <w:szCs w:val="22"/>
        </w:rPr>
        <w:t xml:space="preserve">Nombre de la entidad, ciudad, dirección, teléfono, correo y sitio web institucionales.</w:t>
      </w:r>
    </w:p>
    <w:p>
      <w:pPr>
        <w:pStyle w:val="ListParagraph"/>
        <w:numPr>
          <w:ilvl w:val="0"/>
          <w:numId w:val="2"/>
        </w:numPr>
        <w:spacing w:after="100" w:line="276"/>
        <w:jc w:val="both"/>
      </w:pPr>
      <w:r>
        <w:rPr>
          <w:sz w:val="22"/>
          <w:szCs w:val="22"/>
        </w:rPr>
        <w:t xml:space="preserve">Número y objeto del proceso de contratación, así como la versión y fecha de vigencia de cada documento.</w:t>
      </w:r>
    </w:p>
    <w:p>
      <w:pPr>
        <w:pStyle w:val="ListParagraph"/>
        <w:numPr>
          <w:ilvl w:val="0"/>
          <w:numId w:val="2"/>
        </w:numPr>
        <w:spacing w:after="100" w:line="276"/>
        <w:jc w:val="both"/>
      </w:pPr>
      <w:r>
        <w:rPr>
          <w:sz w:val="22"/>
          <w:szCs w:val="22"/>
        </w:rPr>
        <w:t xml:space="preserve">Valores del presupuesto oficial, certificados de disponibilidad presupuestal y plazos del contrato.</w:t>
      </w:r>
    </w:p>
    <w:p>
      <w:pPr>
        <w:pStyle w:val="ListParagraph"/>
        <w:numPr>
          <w:ilvl w:val="0"/>
          <w:numId w:val="2"/>
        </w:numPr>
        <w:spacing w:after="100" w:line="276"/>
        <w:jc w:val="both"/>
      </w:pPr>
      <w:r>
        <w:rPr>
          <w:sz w:val="22"/>
          <w:szCs w:val="22"/>
        </w:rPr>
        <w:t xml:space="preserve">Porcentajes de los factores de calidad y de las garantías (cumplimiento y calidad del servicio), cuando el documento fuente no los precisaba.</w:t>
      </w:r>
    </w:p>
    <w:p>
      <w:pPr>
        <w:pStyle w:val="ListParagraph"/>
        <w:numPr>
          <w:ilvl w:val="0"/>
          <w:numId w:val="2"/>
        </w:numPr>
        <w:spacing w:after="100" w:line="276"/>
        <w:jc w:val="both"/>
      </w:pPr>
      <w:r>
        <w:rPr>
          <w:sz w:val="22"/>
          <w:szCs w:val="22"/>
        </w:rPr>
        <w:t xml:space="preserve">Umbral de menor cuantía en pesos vigente para la respectiva vigencia fiscal.</w:t>
      </w:r>
    </w:p>
    <w:p>
      <w:pPr>
        <w:spacing w:after="80"/>
      </w:pPr>
      <w:r>
        <w:rPr>
          <w:sz w:val="22"/>
          <w:szCs w:val="22"/>
        </w:rPr>
        <w:t xml:space="preserve"/>
      </w:r>
    </w:p>
    <w:p>
      <w:pPr>
        <w:spacing w:after="60" w:before="0" w:line="276"/>
        <w:jc w:val="both"/>
      </w:pPr>
      <w:r>
        <w:rPr>
          <w:b/>
          <w:bCs/>
          <w:i w:val="false"/>
          <w:iCs w:val="false"/>
          <w:sz w:val="22"/>
          <w:szCs w:val="22"/>
        </w:rPr>
        <w:t xml:space="preserve">Nota final. </w:t>
      </w:r>
      <w:r>
        <w:rPr>
          <w:b w:val="false"/>
          <w:bCs w:val="false"/>
          <w:i w:val="false"/>
          <w:iCs w:val="false"/>
          <w:sz w:val="22"/>
          <w:szCs w:val="22"/>
        </w:rPr>
        <w:t xml:space="preserve">Cualquier término técnico cuya grafía no pudo confirmarse con certeza fue conservado o señalado entre corchetes, sin inventar contenido. Este informe se entrega como documento de control y no reemplaza la revisión jurídica formal previa a la publicación en el SECOP.</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2026-06-03T15:48:46.572Z</dcterms:created>
  <dcterms:modified xsi:type="dcterms:W3CDTF">2026-06-03T15:48:46.573Z</dcterms:modified>
</cp:coreProperties>
</file>

<file path=docProps/custom.xml><?xml version="1.0" encoding="utf-8"?>
<Properties xmlns="http://schemas.openxmlformats.org/officeDocument/2006/custom-properties" xmlns:vt="http://schemas.openxmlformats.org/officeDocument/2006/docPropsVTypes"/>
</file>